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B71F3" w:rsidRDefault="00055A07">
      <w:pPr>
        <w:pStyle w:val="Title"/>
      </w:pPr>
      <w:bookmarkStart w:id="0" w:name="_GoBack"/>
      <w:bookmarkEnd w:id="0"/>
      <w:r>
        <w:t>Demand Fee Mitigation for Workplace and Public Locations</w:t>
      </w:r>
    </w:p>
    <w:p w:rsidR="001B71F3" w:rsidRDefault="00A01BDB">
      <w:r>
        <w:t>For locations with demand charges</w:t>
      </w:r>
    </w:p>
    <w:p w:rsidR="001B71F3" w:rsidRDefault="00B42834">
      <w:pPr>
        <w:pStyle w:val="Heading1"/>
      </w:pPr>
      <w:r>
        <w:t>Use Case Summary</w:t>
      </w:r>
    </w:p>
    <w:p w:rsidR="001B71F3" w:rsidRDefault="00055A07">
      <w:pPr>
        <w:rPr>
          <w:sz w:val="22"/>
          <w:szCs w:val="22"/>
        </w:rPr>
      </w:pPr>
      <w:r>
        <w:t>The major driver of this use case is reduction of costs paid to the utility by paying less in demand charges. It also does not need any new markets or policy changes to implement.</w:t>
      </w:r>
    </w:p>
    <w:p w:rsidR="001B71F3" w:rsidRDefault="00B42834">
      <w:pPr>
        <w:pStyle w:val="Heading1"/>
      </w:pPr>
      <w:r>
        <w:t>Use Case Detailed Narrative</w:t>
      </w:r>
    </w:p>
    <w:p w:rsidR="00055A07" w:rsidRDefault="00055A07" w:rsidP="00055A07">
      <w:r>
        <w:t>Site level VGI looks at the demand patterns of the load as seen by the utility and implements a control mechanism to reduce the peak demand. This can be accomplished in a few different ways:</w:t>
      </w:r>
    </w:p>
    <w:p w:rsidR="00055A07" w:rsidRDefault="00055A07" w:rsidP="00055A07">
      <w:pPr>
        <w:pStyle w:val="ListParagraph"/>
        <w:numPr>
          <w:ilvl w:val="0"/>
          <w:numId w:val="2"/>
        </w:numPr>
      </w:pPr>
      <w:r>
        <w:t>Delaying start of vehicle charging</w:t>
      </w:r>
    </w:p>
    <w:p w:rsidR="00055A07" w:rsidRDefault="00055A07" w:rsidP="00055A07">
      <w:pPr>
        <w:pStyle w:val="ListParagraph"/>
        <w:numPr>
          <w:ilvl w:val="0"/>
          <w:numId w:val="2"/>
        </w:numPr>
      </w:pPr>
      <w:r>
        <w:t>Slowing vehicle charging down during peak demand periods</w:t>
      </w:r>
    </w:p>
    <w:p w:rsidR="00055A07" w:rsidRDefault="00055A07" w:rsidP="00055A07">
      <w:pPr>
        <w:pStyle w:val="ListParagraph"/>
        <w:numPr>
          <w:ilvl w:val="0"/>
          <w:numId w:val="2"/>
        </w:numPr>
      </w:pPr>
      <w:r>
        <w:t>Encouraging charging outside of peak times via pricing signals from the charging station</w:t>
      </w:r>
    </w:p>
    <w:p w:rsidR="001B71F3" w:rsidRDefault="001B71F3"/>
    <w:p w:rsidR="00055A07" w:rsidRDefault="00055A07">
      <w:r>
        <w:t xml:space="preserve">While some EVSE manufactures have implemented such a schema, the practice is not widespread. It is possible for vehicle charging to set a peak demand for a building if charging is occurring during the highest </w:t>
      </w:r>
      <w:r w:rsidR="00A01BDB">
        <w:t>building demand period. For separately metered stations, if all stations were in use at the same time, a peak demand would be set. By slowing down or delaying charging when all stations are in use or a building is drawing heavy load, the peak demand is reduced. Clear savings in dollars per kW per month are reflected in the utility bill for the site owner.</w:t>
      </w:r>
    </w:p>
    <w:p w:rsidR="009504DD" w:rsidRDefault="009504DD">
      <w:r>
        <w:br/>
        <w:t xml:space="preserve">Variation (Site Controller): A </w:t>
      </w:r>
      <w:r w:rsidR="00072011">
        <w:t xml:space="preserve">site </w:t>
      </w:r>
      <w:r>
        <w:t xml:space="preserve">controller communicates with stations to </w:t>
      </w:r>
      <w:r w:rsidR="00072011">
        <w:t>selectively</w:t>
      </w:r>
      <w:r>
        <w:t xml:space="preserve"> adjusted or delayed as necessary to stay under a certain demand level. The communications standard bet</w:t>
      </w:r>
      <w:r w:rsidR="00072011">
        <w:t xml:space="preserve">ween the site </w:t>
      </w:r>
      <w:r>
        <w:t>controller and charging stations could be serial, pulse width modulation, or equivalent local communications schema. This allows the site controller to be the main interface to the internet, if necessary, thus keeping additional hardware on the charging stations to a minimum.</w:t>
      </w:r>
    </w:p>
    <w:p w:rsidR="009504DD" w:rsidRDefault="009504DD"/>
    <w:p w:rsidR="009504DD" w:rsidRDefault="009504DD">
      <w:r>
        <w:t>Variation (</w:t>
      </w:r>
      <w:r w:rsidR="00072011">
        <w:t>high-level</w:t>
      </w:r>
      <w:r>
        <w:t xml:space="preserve"> protocol for EV-EVSE communication): </w:t>
      </w:r>
      <w:r w:rsidR="00072011">
        <w:t xml:space="preserve">The station and EV communicate using a high-level protocol, exchanging information such as: pricing, battery SOC, departure time. This information is processed by the station and/or relayed to the site controller, which can make more optimized decisions on slowing and/or delaying charge on such vehicles. This benefits both the driver </w:t>
      </w:r>
      <w:r w:rsidR="006A1D2B">
        <w:t>and the station operator, as needs from both sides are better communicated.</w:t>
      </w:r>
    </w:p>
    <w:p w:rsidR="001B71F3" w:rsidRDefault="00B42834">
      <w:pPr>
        <w:pStyle w:val="Heading1"/>
      </w:pPr>
      <w:r>
        <w:t>Business Rules &amp; Assumptions</w:t>
      </w:r>
    </w:p>
    <w:p w:rsidR="001B71F3" w:rsidRDefault="00055A07" w:rsidP="00055A07">
      <w:pPr>
        <w:pStyle w:val="ListParagraph"/>
        <w:numPr>
          <w:ilvl w:val="0"/>
          <w:numId w:val="3"/>
        </w:numPr>
        <w:rPr>
          <w:sz w:val="22"/>
          <w:szCs w:val="22"/>
        </w:rPr>
      </w:pPr>
      <w:r w:rsidRPr="00055A07">
        <w:rPr>
          <w:sz w:val="22"/>
          <w:szCs w:val="22"/>
        </w:rPr>
        <w:t>The stations are on a commercial rate with demand charges</w:t>
      </w:r>
    </w:p>
    <w:p w:rsidR="009504DD" w:rsidRPr="009504DD" w:rsidRDefault="009504DD" w:rsidP="009504DD">
      <w:pPr>
        <w:pStyle w:val="ListParagraph"/>
        <w:numPr>
          <w:ilvl w:val="0"/>
          <w:numId w:val="3"/>
        </w:numPr>
        <w:rPr>
          <w:sz w:val="22"/>
          <w:szCs w:val="22"/>
        </w:rPr>
      </w:pPr>
      <w:r>
        <w:rPr>
          <w:sz w:val="22"/>
          <w:szCs w:val="22"/>
        </w:rPr>
        <w:lastRenderedPageBreak/>
        <w:t>The stations can delay the start of charge or slow down a current session by adjusting the SAE J1772 pilot signal</w:t>
      </w:r>
    </w:p>
    <w:p w:rsidR="00055A07" w:rsidRDefault="00055A07" w:rsidP="00055A07">
      <w:pPr>
        <w:pStyle w:val="ListParagraph"/>
        <w:numPr>
          <w:ilvl w:val="0"/>
          <w:numId w:val="3"/>
        </w:numPr>
        <w:rPr>
          <w:sz w:val="22"/>
          <w:szCs w:val="22"/>
        </w:rPr>
      </w:pPr>
      <w:r w:rsidRPr="00055A07">
        <w:rPr>
          <w:sz w:val="22"/>
          <w:szCs w:val="22"/>
        </w:rPr>
        <w:t xml:space="preserve">The stations can communicate at a local level </w:t>
      </w:r>
      <w:r w:rsidR="00A01BDB">
        <w:rPr>
          <w:sz w:val="22"/>
          <w:szCs w:val="22"/>
        </w:rPr>
        <w:t>with o</w:t>
      </w:r>
      <w:r w:rsidR="009504DD">
        <w:rPr>
          <w:sz w:val="22"/>
          <w:szCs w:val="22"/>
        </w:rPr>
        <w:t xml:space="preserve">ther stations on the same meter, </w:t>
      </w:r>
      <w:r w:rsidR="00A01BDB">
        <w:rPr>
          <w:sz w:val="22"/>
          <w:szCs w:val="22"/>
        </w:rPr>
        <w:t>building energy management system</w:t>
      </w:r>
      <w:r w:rsidR="009504DD">
        <w:rPr>
          <w:sz w:val="22"/>
          <w:szCs w:val="22"/>
        </w:rPr>
        <w:t>, or site controller</w:t>
      </w:r>
      <w:r w:rsidR="00A01BDB">
        <w:rPr>
          <w:sz w:val="22"/>
          <w:szCs w:val="22"/>
        </w:rPr>
        <w:t xml:space="preserve"> </w:t>
      </w:r>
      <w:r w:rsidRPr="00055A07">
        <w:rPr>
          <w:sz w:val="22"/>
          <w:szCs w:val="22"/>
        </w:rPr>
        <w:t>to coordinate vehicle charging</w:t>
      </w:r>
    </w:p>
    <w:p w:rsidR="00055A07" w:rsidRDefault="00055A07" w:rsidP="00055A07">
      <w:pPr>
        <w:pStyle w:val="ListParagraph"/>
        <w:numPr>
          <w:ilvl w:val="0"/>
          <w:numId w:val="3"/>
        </w:numPr>
        <w:rPr>
          <w:sz w:val="22"/>
          <w:szCs w:val="22"/>
        </w:rPr>
      </w:pPr>
      <w:r w:rsidRPr="00055A07">
        <w:rPr>
          <w:i/>
          <w:sz w:val="22"/>
          <w:szCs w:val="22"/>
        </w:rPr>
        <w:t>Optional:</w:t>
      </w:r>
      <w:r w:rsidRPr="00055A07">
        <w:rPr>
          <w:sz w:val="22"/>
          <w:szCs w:val="22"/>
        </w:rPr>
        <w:t xml:space="preserve"> The stations communicate with the vehicle </w:t>
      </w:r>
      <w:r w:rsidR="00AB3261">
        <w:rPr>
          <w:sz w:val="22"/>
          <w:szCs w:val="22"/>
        </w:rPr>
        <w:t xml:space="preserve">with a standardized protocol (typically ISO 15118 or SEP 2.0) </w:t>
      </w:r>
      <w:r w:rsidRPr="00055A07">
        <w:rPr>
          <w:sz w:val="22"/>
          <w:szCs w:val="22"/>
        </w:rPr>
        <w:t xml:space="preserve">to relay the following parameters: </w:t>
      </w:r>
    </w:p>
    <w:p w:rsidR="00055A07" w:rsidRDefault="00055A07" w:rsidP="00055A07">
      <w:pPr>
        <w:pStyle w:val="ListParagraph"/>
        <w:numPr>
          <w:ilvl w:val="1"/>
          <w:numId w:val="3"/>
        </w:numPr>
        <w:rPr>
          <w:sz w:val="22"/>
          <w:szCs w:val="22"/>
        </w:rPr>
      </w:pPr>
      <w:r>
        <w:rPr>
          <w:sz w:val="22"/>
          <w:szCs w:val="22"/>
        </w:rPr>
        <w:t>D</w:t>
      </w:r>
      <w:r w:rsidRPr="00055A07">
        <w:rPr>
          <w:sz w:val="22"/>
          <w:szCs w:val="22"/>
        </w:rPr>
        <w:t>esired</w:t>
      </w:r>
      <w:r>
        <w:rPr>
          <w:sz w:val="22"/>
          <w:szCs w:val="22"/>
        </w:rPr>
        <w:t xml:space="preserve"> charging amount (kWh)</w:t>
      </w:r>
      <w:r w:rsidRPr="00055A07">
        <w:rPr>
          <w:sz w:val="22"/>
          <w:szCs w:val="22"/>
        </w:rPr>
        <w:t xml:space="preserve"> </w:t>
      </w:r>
    </w:p>
    <w:p w:rsidR="00055A07" w:rsidRDefault="00055A07" w:rsidP="00055A07">
      <w:pPr>
        <w:pStyle w:val="ListParagraph"/>
        <w:numPr>
          <w:ilvl w:val="1"/>
          <w:numId w:val="3"/>
        </w:numPr>
        <w:rPr>
          <w:sz w:val="22"/>
          <w:szCs w:val="22"/>
        </w:rPr>
      </w:pPr>
      <w:r>
        <w:rPr>
          <w:sz w:val="22"/>
          <w:szCs w:val="22"/>
        </w:rPr>
        <w:t>Station Pricing</w:t>
      </w:r>
    </w:p>
    <w:p w:rsidR="00055A07" w:rsidRDefault="00055A07" w:rsidP="00F75334">
      <w:pPr>
        <w:pStyle w:val="ListParagraph"/>
        <w:numPr>
          <w:ilvl w:val="1"/>
          <w:numId w:val="3"/>
        </w:numPr>
        <w:rPr>
          <w:sz w:val="22"/>
          <w:szCs w:val="22"/>
        </w:rPr>
      </w:pPr>
      <w:r w:rsidRPr="00055A07">
        <w:rPr>
          <w:sz w:val="22"/>
          <w:szCs w:val="22"/>
        </w:rPr>
        <w:t>Authentication (Plug &amp; Charge)</w:t>
      </w:r>
    </w:p>
    <w:p w:rsidR="00055A07" w:rsidRPr="00055A07" w:rsidRDefault="00055A07" w:rsidP="00F75334">
      <w:pPr>
        <w:pStyle w:val="ListParagraph"/>
        <w:numPr>
          <w:ilvl w:val="1"/>
          <w:numId w:val="3"/>
        </w:numPr>
        <w:rPr>
          <w:sz w:val="22"/>
          <w:szCs w:val="22"/>
        </w:rPr>
      </w:pPr>
      <w:r w:rsidRPr="00055A07">
        <w:rPr>
          <w:sz w:val="22"/>
          <w:szCs w:val="22"/>
        </w:rPr>
        <w:t>D</w:t>
      </w:r>
      <w:r>
        <w:rPr>
          <w:sz w:val="22"/>
          <w:szCs w:val="22"/>
        </w:rPr>
        <w:t>esired departure time</w:t>
      </w:r>
    </w:p>
    <w:p w:rsidR="001B71F3" w:rsidRDefault="001B71F3"/>
    <w:p w:rsidR="001B71F3" w:rsidRDefault="00B42834">
      <w:pPr>
        <w:pStyle w:val="Heading1"/>
      </w:pPr>
      <w:r>
        <w:t>Actors</w:t>
      </w:r>
    </w:p>
    <w:p w:rsidR="001B71F3" w:rsidRDefault="00B42834">
      <w:pPr>
        <w:rPr>
          <w:rFonts w:ascii="MS Mincho" w:eastAsia="MS Mincho" w:hAnsi="MS Mincho" w:cs="MS Mincho"/>
          <w:sz w:val="20"/>
          <w:szCs w:val="20"/>
        </w:rPr>
      </w:pPr>
      <w:r>
        <w:rPr>
          <w:i/>
          <w:sz w:val="22"/>
          <w:szCs w:val="22"/>
        </w:rPr>
        <w:t>Describe the primary and secondary actors involved in the use case. This might include all the people (their job), systems, databases, organizations, and devices involved in or affected by the Function (e.g. operators, system administrators, customer, end users, service personnel, executives, meter, real-time database, ISO, power system). Actors listed for this use case should be copied from the global actors list to ensure consistency across all use cases.</w:t>
      </w:r>
      <w:r>
        <w:rPr>
          <w:i/>
          <w:sz w:val="20"/>
          <w:szCs w:val="20"/>
        </w:rPr>
        <w:t xml:space="preserve"> </w:t>
      </w:r>
    </w:p>
    <w:p w:rsidR="001B71F3" w:rsidRDefault="00B42834">
      <w:pPr>
        <w:rPr>
          <w:rFonts w:ascii="MS Mincho" w:eastAsia="MS Mincho" w:hAnsi="MS Mincho" w:cs="MS Mincho"/>
          <w:sz w:val="20"/>
          <w:szCs w:val="20"/>
        </w:rPr>
      </w:pPr>
      <w:r>
        <w:rPr>
          <w:rFonts w:ascii="MS Mincho" w:eastAsia="MS Mincho" w:hAnsi="MS Mincho" w:cs="MS Mincho"/>
          <w:sz w:val="20"/>
          <w:szCs w:val="20"/>
        </w:rPr>
        <w:t> </w:t>
      </w:r>
    </w:p>
    <w:tbl>
      <w:tblPr>
        <w:tblStyle w:val="a"/>
        <w:tblW w:w="11700" w:type="dxa"/>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0"/>
        <w:gridCol w:w="2790"/>
        <w:gridCol w:w="6300"/>
      </w:tblGrid>
      <w:tr w:rsidR="001B71F3">
        <w:trPr>
          <w:trHeight w:val="620"/>
        </w:trPr>
        <w:tc>
          <w:tcPr>
            <w:tcW w:w="2610" w:type="dxa"/>
            <w:shd w:val="clear" w:color="auto" w:fill="E7E6E6"/>
          </w:tcPr>
          <w:p w:rsidR="001B71F3" w:rsidRDefault="00B42834">
            <w:pPr>
              <w:contextualSpacing w:val="0"/>
              <w:jc w:val="center"/>
            </w:pPr>
            <w:r>
              <w:t>Actor Name</w:t>
            </w:r>
          </w:p>
        </w:tc>
        <w:tc>
          <w:tcPr>
            <w:tcW w:w="2790" w:type="dxa"/>
            <w:shd w:val="clear" w:color="auto" w:fill="E7E6E6"/>
          </w:tcPr>
          <w:p w:rsidR="001B71F3" w:rsidRDefault="00B42834">
            <w:pPr>
              <w:contextualSpacing w:val="0"/>
              <w:jc w:val="center"/>
            </w:pPr>
            <w:r>
              <w:t>Actor Type (person, device, system, etc.)</w:t>
            </w:r>
          </w:p>
        </w:tc>
        <w:tc>
          <w:tcPr>
            <w:tcW w:w="6300" w:type="dxa"/>
            <w:shd w:val="clear" w:color="auto" w:fill="E7E6E6"/>
          </w:tcPr>
          <w:p w:rsidR="001B71F3" w:rsidRDefault="00B42834">
            <w:pPr>
              <w:contextualSpacing w:val="0"/>
              <w:jc w:val="center"/>
            </w:pPr>
            <w:r>
              <w:t>Actor Description</w:t>
            </w:r>
          </w:p>
        </w:tc>
      </w:tr>
      <w:tr w:rsidR="001B71F3">
        <w:tc>
          <w:tcPr>
            <w:tcW w:w="2610" w:type="dxa"/>
          </w:tcPr>
          <w:p w:rsidR="00AB3261" w:rsidRDefault="00AB3261" w:rsidP="00AB3261">
            <w:pPr>
              <w:contextualSpacing w:val="0"/>
            </w:pPr>
            <w:r>
              <w:t>Customer</w:t>
            </w:r>
          </w:p>
        </w:tc>
        <w:tc>
          <w:tcPr>
            <w:tcW w:w="2790" w:type="dxa"/>
          </w:tcPr>
          <w:p w:rsidR="001B71F3" w:rsidRDefault="00AB3261">
            <w:pPr>
              <w:contextualSpacing w:val="0"/>
            </w:pPr>
            <w:r>
              <w:t>Person</w:t>
            </w:r>
          </w:p>
        </w:tc>
        <w:tc>
          <w:tcPr>
            <w:tcW w:w="6300" w:type="dxa"/>
          </w:tcPr>
          <w:p w:rsidR="001B71F3" w:rsidRDefault="00654708">
            <w:pPr>
              <w:contextualSpacing w:val="0"/>
            </w:pPr>
            <w:r>
              <w:t xml:space="preserve">Provides desired departure time, cost </w:t>
            </w:r>
            <w:proofErr w:type="spellStart"/>
            <w:r>
              <w:t>perameters</w:t>
            </w:r>
            <w:proofErr w:type="spellEnd"/>
            <w:r>
              <w:t>, etc. to vehicle</w:t>
            </w:r>
          </w:p>
        </w:tc>
      </w:tr>
      <w:tr w:rsidR="001B71F3">
        <w:tc>
          <w:tcPr>
            <w:tcW w:w="2610" w:type="dxa"/>
          </w:tcPr>
          <w:p w:rsidR="001B71F3" w:rsidRDefault="00AB3261">
            <w:pPr>
              <w:contextualSpacing w:val="0"/>
            </w:pPr>
            <w:r>
              <w:t>Plug In Vehicle</w:t>
            </w:r>
          </w:p>
        </w:tc>
        <w:tc>
          <w:tcPr>
            <w:tcW w:w="2790" w:type="dxa"/>
          </w:tcPr>
          <w:p w:rsidR="001B71F3" w:rsidRDefault="00AC08C8">
            <w:pPr>
              <w:contextualSpacing w:val="0"/>
            </w:pPr>
            <w:r>
              <w:t>Vehicle (?) or Device (?)</w:t>
            </w:r>
          </w:p>
        </w:tc>
        <w:tc>
          <w:tcPr>
            <w:tcW w:w="6300" w:type="dxa"/>
          </w:tcPr>
          <w:p w:rsidR="001B71F3" w:rsidRDefault="00654708">
            <w:pPr>
              <w:contextualSpacing w:val="0"/>
            </w:pPr>
            <w:r>
              <w:t>authenticates and draws power from EVSE</w:t>
            </w:r>
          </w:p>
        </w:tc>
      </w:tr>
      <w:tr w:rsidR="00AB3261">
        <w:tc>
          <w:tcPr>
            <w:tcW w:w="2610" w:type="dxa"/>
          </w:tcPr>
          <w:p w:rsidR="00AB3261" w:rsidRDefault="00AB3261" w:rsidP="00AB3261">
            <w:pPr>
              <w:contextualSpacing w:val="0"/>
            </w:pPr>
            <w:r>
              <w:t>EVSE</w:t>
            </w:r>
          </w:p>
        </w:tc>
        <w:tc>
          <w:tcPr>
            <w:tcW w:w="2790" w:type="dxa"/>
          </w:tcPr>
          <w:p w:rsidR="00AB3261" w:rsidRDefault="00AC08C8" w:rsidP="00AB3261">
            <w:pPr>
              <w:contextualSpacing w:val="0"/>
            </w:pPr>
            <w:r>
              <w:t>Device</w:t>
            </w:r>
          </w:p>
        </w:tc>
        <w:tc>
          <w:tcPr>
            <w:tcW w:w="6300" w:type="dxa"/>
          </w:tcPr>
          <w:p w:rsidR="00AB3261" w:rsidRDefault="00654708" w:rsidP="00AB3261">
            <w:pPr>
              <w:contextualSpacing w:val="0"/>
            </w:pPr>
            <w:r>
              <w:t>Manages electrical power to vehicle including safety, metering, and communication as applicable</w:t>
            </w:r>
          </w:p>
        </w:tc>
      </w:tr>
      <w:tr w:rsidR="00AB3261">
        <w:tc>
          <w:tcPr>
            <w:tcW w:w="2610" w:type="dxa"/>
          </w:tcPr>
          <w:p w:rsidR="00AB3261" w:rsidRDefault="00AB3261" w:rsidP="00AB3261">
            <w:pPr>
              <w:contextualSpacing w:val="0"/>
            </w:pPr>
            <w:r>
              <w:t>Site Meter</w:t>
            </w:r>
          </w:p>
        </w:tc>
        <w:tc>
          <w:tcPr>
            <w:tcW w:w="2790" w:type="dxa"/>
          </w:tcPr>
          <w:p w:rsidR="00AB3261" w:rsidRDefault="00AC08C8" w:rsidP="00AB3261">
            <w:pPr>
              <w:contextualSpacing w:val="0"/>
            </w:pPr>
            <w:r>
              <w:t>device</w:t>
            </w:r>
          </w:p>
        </w:tc>
        <w:tc>
          <w:tcPr>
            <w:tcW w:w="6300" w:type="dxa"/>
          </w:tcPr>
          <w:p w:rsidR="00AB3261" w:rsidRDefault="00654708" w:rsidP="00654708">
            <w:pPr>
              <w:contextualSpacing w:val="0"/>
            </w:pPr>
            <w:r>
              <w:t>Optionally provides power and energy data to building EMS or site controller</w:t>
            </w:r>
          </w:p>
        </w:tc>
      </w:tr>
      <w:tr w:rsidR="00AB3261">
        <w:tc>
          <w:tcPr>
            <w:tcW w:w="2610" w:type="dxa"/>
          </w:tcPr>
          <w:p w:rsidR="00AB3261" w:rsidRDefault="00AB3261" w:rsidP="00AB3261">
            <w:pPr>
              <w:contextualSpacing w:val="0"/>
            </w:pPr>
            <w:r>
              <w:t>Building EMS</w:t>
            </w:r>
          </w:p>
        </w:tc>
        <w:tc>
          <w:tcPr>
            <w:tcW w:w="2790" w:type="dxa"/>
          </w:tcPr>
          <w:p w:rsidR="00AB3261" w:rsidRDefault="00654708" w:rsidP="00AB3261">
            <w:pPr>
              <w:contextualSpacing w:val="0"/>
            </w:pPr>
            <w:r>
              <w:t>System</w:t>
            </w:r>
          </w:p>
        </w:tc>
        <w:tc>
          <w:tcPr>
            <w:tcW w:w="6300" w:type="dxa"/>
          </w:tcPr>
          <w:p w:rsidR="00AB3261" w:rsidRDefault="00654708" w:rsidP="00AB3261">
            <w:pPr>
              <w:contextualSpacing w:val="0"/>
            </w:pPr>
            <w:r>
              <w:t>Manages loading of building by turning on and off equipment such as air conditioner compressors, lights, fans, or other industrial equipment. May be hardware or software based.</w:t>
            </w:r>
          </w:p>
        </w:tc>
      </w:tr>
      <w:tr w:rsidR="00AB3261">
        <w:tc>
          <w:tcPr>
            <w:tcW w:w="2610" w:type="dxa"/>
          </w:tcPr>
          <w:p w:rsidR="00AB3261" w:rsidRDefault="00654708" w:rsidP="00AB3261">
            <w:pPr>
              <w:contextualSpacing w:val="0"/>
            </w:pPr>
            <w:r>
              <w:t>Site Controller</w:t>
            </w:r>
          </w:p>
        </w:tc>
        <w:tc>
          <w:tcPr>
            <w:tcW w:w="2790" w:type="dxa"/>
          </w:tcPr>
          <w:p w:rsidR="00AB3261" w:rsidRDefault="00654708" w:rsidP="00AB3261">
            <w:pPr>
              <w:contextualSpacing w:val="0"/>
            </w:pPr>
            <w:r>
              <w:t>system</w:t>
            </w:r>
          </w:p>
        </w:tc>
        <w:tc>
          <w:tcPr>
            <w:tcW w:w="6300" w:type="dxa"/>
          </w:tcPr>
          <w:p w:rsidR="00AB3261" w:rsidRDefault="00654708" w:rsidP="00AB3261">
            <w:pPr>
              <w:contextualSpacing w:val="0"/>
            </w:pPr>
            <w:r>
              <w:t>Manages electric vehicle charging load by communicating with site EVSE(s). May be hardware or software based.</w:t>
            </w:r>
          </w:p>
        </w:tc>
      </w:tr>
    </w:tbl>
    <w:p w:rsidR="001B71F3" w:rsidRDefault="001B71F3"/>
    <w:p w:rsidR="001B71F3" w:rsidRDefault="00B42834">
      <w:r>
        <w:br w:type="column"/>
      </w:r>
    </w:p>
    <w:p w:rsidR="001B71F3" w:rsidRDefault="00B42834">
      <w:pPr>
        <w:pStyle w:val="Heading1"/>
      </w:pPr>
      <w:bookmarkStart w:id="1" w:name="_gjdgxs" w:colFirst="0" w:colLast="0"/>
      <w:bookmarkEnd w:id="1"/>
      <w:r>
        <w:t>Step by Step analysis of each Scenario</w:t>
      </w:r>
    </w:p>
    <w:p w:rsidR="001B71F3" w:rsidRDefault="00B42834">
      <w:pPr>
        <w:rPr>
          <w:sz w:val="20"/>
          <w:szCs w:val="20"/>
        </w:rPr>
      </w:pPr>
      <w:r>
        <w:rPr>
          <w:i/>
          <w:sz w:val="20"/>
          <w:szCs w:val="20"/>
        </w:rPr>
        <w:t xml:space="preserve">Describe steps that implement the scenario. The first scenario should be classified as either a “Primary” Scenario or an “Alternate” Scenario by starting the title of the scenario with either the work “Primary” or “Alternate”. A scenario that successfully completes without exception or relying heavily on steps from another scenario should be classified as Primary; all other scenarios should be classified as “Alternate”. If there is more than one scenario (set of steps) that is relevant, make a copy of the following section (all of 3.1, including 3.1.1 and tables) and fill out the additional scenarios. </w:t>
      </w:r>
    </w:p>
    <w:p w:rsidR="001B71F3" w:rsidRDefault="001B71F3"/>
    <w:p w:rsidR="001B71F3" w:rsidRDefault="00B42834">
      <w:pPr>
        <w:pStyle w:val="Heading2"/>
      </w:pPr>
      <w:r>
        <w:t xml:space="preserve">Primary Scenario: </w:t>
      </w:r>
      <w:r w:rsidR="000F32CF">
        <w:t>Slowing charging during a high demand situation</w:t>
      </w:r>
    </w:p>
    <w:p w:rsidR="001B71F3" w:rsidRDefault="001B71F3"/>
    <w:tbl>
      <w:tblPr>
        <w:tblStyle w:val="a0"/>
        <w:tblW w:w="11700" w:type="dxa"/>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5"/>
        <w:gridCol w:w="2925"/>
        <w:gridCol w:w="2925"/>
        <w:gridCol w:w="2925"/>
      </w:tblGrid>
      <w:tr w:rsidR="001B71F3">
        <w:trPr>
          <w:trHeight w:val="620"/>
        </w:trPr>
        <w:tc>
          <w:tcPr>
            <w:tcW w:w="2925" w:type="dxa"/>
            <w:shd w:val="clear" w:color="auto" w:fill="E7E6E6"/>
            <w:vAlign w:val="center"/>
          </w:tcPr>
          <w:p w:rsidR="001B71F3" w:rsidRDefault="00B42834">
            <w:pPr>
              <w:contextualSpacing w:val="0"/>
              <w:jc w:val="center"/>
              <w:rPr>
                <w:b/>
              </w:rPr>
            </w:pPr>
            <w:r>
              <w:rPr>
                <w:b/>
              </w:rPr>
              <w:t>Triggering Event</w:t>
            </w:r>
          </w:p>
        </w:tc>
        <w:tc>
          <w:tcPr>
            <w:tcW w:w="2925" w:type="dxa"/>
            <w:shd w:val="clear" w:color="auto" w:fill="E7E6E6"/>
            <w:vAlign w:val="center"/>
          </w:tcPr>
          <w:p w:rsidR="001B71F3" w:rsidRDefault="00B42834">
            <w:pPr>
              <w:contextualSpacing w:val="0"/>
              <w:jc w:val="center"/>
              <w:rPr>
                <w:b/>
              </w:rPr>
            </w:pPr>
            <w:r>
              <w:rPr>
                <w:b/>
              </w:rPr>
              <w:t>Primary Actor</w:t>
            </w:r>
          </w:p>
        </w:tc>
        <w:tc>
          <w:tcPr>
            <w:tcW w:w="2925" w:type="dxa"/>
            <w:shd w:val="clear" w:color="auto" w:fill="E7E6E6"/>
            <w:vAlign w:val="center"/>
          </w:tcPr>
          <w:p w:rsidR="001B71F3" w:rsidRDefault="00B42834">
            <w:pPr>
              <w:contextualSpacing w:val="0"/>
              <w:jc w:val="center"/>
              <w:rPr>
                <w:b/>
              </w:rPr>
            </w:pPr>
            <w:r>
              <w:rPr>
                <w:b/>
              </w:rPr>
              <w:t>Pre-Condition</w:t>
            </w:r>
          </w:p>
        </w:tc>
        <w:tc>
          <w:tcPr>
            <w:tcW w:w="2925" w:type="dxa"/>
            <w:shd w:val="clear" w:color="auto" w:fill="E7E6E6"/>
            <w:vAlign w:val="center"/>
          </w:tcPr>
          <w:p w:rsidR="001B71F3" w:rsidRDefault="00B42834">
            <w:pPr>
              <w:contextualSpacing w:val="0"/>
              <w:jc w:val="center"/>
              <w:rPr>
                <w:b/>
              </w:rPr>
            </w:pPr>
            <w:r>
              <w:rPr>
                <w:b/>
              </w:rPr>
              <w:t>Post-Condition</w:t>
            </w:r>
          </w:p>
        </w:tc>
      </w:tr>
      <w:tr w:rsidR="001B71F3">
        <w:trPr>
          <w:trHeight w:val="980"/>
        </w:trPr>
        <w:tc>
          <w:tcPr>
            <w:tcW w:w="2925" w:type="dxa"/>
          </w:tcPr>
          <w:p w:rsidR="001B71F3" w:rsidRDefault="002131E3">
            <w:pPr>
              <w:contextualSpacing w:val="0"/>
            </w:pPr>
            <w:r>
              <w:t>Building, site, or summed EVSE power meters measure power draw close to a predetermined peak value</w:t>
            </w:r>
          </w:p>
        </w:tc>
        <w:tc>
          <w:tcPr>
            <w:tcW w:w="2925" w:type="dxa"/>
            <w:shd w:val="clear" w:color="auto" w:fill="FFFFFF"/>
          </w:tcPr>
          <w:p w:rsidR="001B71F3" w:rsidRDefault="002131E3">
            <w:pPr>
              <w:contextualSpacing w:val="0"/>
            </w:pPr>
            <w:r>
              <w:t>EVSE</w:t>
            </w:r>
          </w:p>
        </w:tc>
        <w:tc>
          <w:tcPr>
            <w:tcW w:w="2925" w:type="dxa"/>
            <w:shd w:val="clear" w:color="auto" w:fill="FFFFFF"/>
          </w:tcPr>
          <w:p w:rsidR="001B71F3" w:rsidRDefault="002131E3">
            <w:pPr>
              <w:contextualSpacing w:val="0"/>
            </w:pPr>
            <w:r>
              <w:t>The allowed ampacity of the station is at its maximum level</w:t>
            </w:r>
          </w:p>
        </w:tc>
        <w:tc>
          <w:tcPr>
            <w:tcW w:w="2925" w:type="dxa"/>
            <w:shd w:val="clear" w:color="auto" w:fill="FFFFFF"/>
          </w:tcPr>
          <w:p w:rsidR="001B71F3" w:rsidRDefault="002131E3">
            <w:pPr>
              <w:contextualSpacing w:val="0"/>
            </w:pPr>
            <w:r>
              <w:t>The allowed ampacity of the station has been throttled down to reduce drawn power by the vehicle</w:t>
            </w:r>
          </w:p>
        </w:tc>
      </w:tr>
    </w:tbl>
    <w:p w:rsidR="001B71F3" w:rsidRDefault="001B71F3"/>
    <w:p w:rsidR="001B71F3" w:rsidRDefault="00B42834">
      <w:pPr>
        <w:pStyle w:val="Heading2"/>
      </w:pPr>
      <w:r>
        <w:t>Steps for this scenario</w:t>
      </w:r>
      <w:r w:rsidR="000F32CF">
        <w:t xml:space="preserve"> (control loop)</w:t>
      </w:r>
    </w:p>
    <w:p w:rsidR="001B71F3" w:rsidRDefault="00B42834">
      <w:pPr>
        <w:rPr>
          <w:sz w:val="20"/>
          <w:szCs w:val="20"/>
        </w:rPr>
      </w:pPr>
      <w:r>
        <w:rPr>
          <w:i/>
          <w:sz w:val="20"/>
          <w:szCs w:val="20"/>
        </w:rPr>
        <w:t xml:space="preserve">Describe the normal sequence of events that is required to complete the scenario. </w:t>
      </w:r>
    </w:p>
    <w:p w:rsidR="001B71F3" w:rsidRDefault="001B71F3"/>
    <w:tbl>
      <w:tblPr>
        <w:tblStyle w:val="a1"/>
        <w:tblW w:w="11700" w:type="dxa"/>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5"/>
        <w:gridCol w:w="2925"/>
        <w:gridCol w:w="2925"/>
        <w:gridCol w:w="2925"/>
      </w:tblGrid>
      <w:tr w:rsidR="001B71F3">
        <w:trPr>
          <w:trHeight w:val="620"/>
        </w:trPr>
        <w:tc>
          <w:tcPr>
            <w:tcW w:w="2925" w:type="dxa"/>
            <w:shd w:val="clear" w:color="auto" w:fill="E7E6E6"/>
            <w:vAlign w:val="center"/>
          </w:tcPr>
          <w:p w:rsidR="001B71F3" w:rsidRDefault="00B42834">
            <w:pPr>
              <w:contextualSpacing w:val="0"/>
              <w:jc w:val="center"/>
              <w:rPr>
                <w:b/>
              </w:rPr>
            </w:pPr>
            <w:r>
              <w:rPr>
                <w:b/>
              </w:rPr>
              <w:t>Step #</w:t>
            </w:r>
          </w:p>
        </w:tc>
        <w:tc>
          <w:tcPr>
            <w:tcW w:w="2925" w:type="dxa"/>
            <w:shd w:val="clear" w:color="auto" w:fill="E7E6E6"/>
            <w:vAlign w:val="center"/>
          </w:tcPr>
          <w:p w:rsidR="001B71F3" w:rsidRDefault="00B42834">
            <w:pPr>
              <w:contextualSpacing w:val="0"/>
              <w:jc w:val="center"/>
              <w:rPr>
                <w:b/>
              </w:rPr>
            </w:pPr>
            <w:r>
              <w:rPr>
                <w:b/>
              </w:rPr>
              <w:t>Actor</w:t>
            </w:r>
          </w:p>
        </w:tc>
        <w:tc>
          <w:tcPr>
            <w:tcW w:w="2925" w:type="dxa"/>
            <w:shd w:val="clear" w:color="auto" w:fill="E7E6E6"/>
            <w:vAlign w:val="center"/>
          </w:tcPr>
          <w:p w:rsidR="001B71F3" w:rsidRDefault="00B42834">
            <w:pPr>
              <w:contextualSpacing w:val="0"/>
              <w:jc w:val="center"/>
              <w:rPr>
                <w:b/>
              </w:rPr>
            </w:pPr>
            <w:r>
              <w:rPr>
                <w:b/>
              </w:rPr>
              <w:t>Description of the Step</w:t>
            </w:r>
          </w:p>
        </w:tc>
        <w:tc>
          <w:tcPr>
            <w:tcW w:w="2925" w:type="dxa"/>
            <w:shd w:val="clear" w:color="auto" w:fill="E7E6E6"/>
            <w:vAlign w:val="center"/>
          </w:tcPr>
          <w:p w:rsidR="001B71F3" w:rsidRDefault="00B42834">
            <w:pPr>
              <w:contextualSpacing w:val="0"/>
              <w:jc w:val="center"/>
              <w:rPr>
                <w:b/>
              </w:rPr>
            </w:pPr>
            <w:r>
              <w:rPr>
                <w:b/>
              </w:rPr>
              <w:t>Additional Notes</w:t>
            </w:r>
          </w:p>
        </w:tc>
      </w:tr>
      <w:tr w:rsidR="001B71F3">
        <w:tc>
          <w:tcPr>
            <w:tcW w:w="2925" w:type="dxa"/>
          </w:tcPr>
          <w:p w:rsidR="001B71F3" w:rsidRDefault="000F32CF">
            <w:pPr>
              <w:contextualSpacing w:val="0"/>
              <w:rPr>
                <w:i/>
              </w:rPr>
            </w:pPr>
            <w:r>
              <w:rPr>
                <w:i/>
              </w:rPr>
              <w:t>1</w:t>
            </w:r>
          </w:p>
        </w:tc>
        <w:tc>
          <w:tcPr>
            <w:tcW w:w="2925" w:type="dxa"/>
            <w:shd w:val="clear" w:color="auto" w:fill="FFFFFF"/>
          </w:tcPr>
          <w:p w:rsidR="001B71F3" w:rsidRDefault="000F32CF">
            <w:pPr>
              <w:contextualSpacing w:val="0"/>
              <w:rPr>
                <w:i/>
              </w:rPr>
            </w:pPr>
            <w:r>
              <w:rPr>
                <w:i/>
              </w:rPr>
              <w:t>Site meter</w:t>
            </w:r>
          </w:p>
        </w:tc>
        <w:tc>
          <w:tcPr>
            <w:tcW w:w="2925" w:type="dxa"/>
            <w:shd w:val="clear" w:color="auto" w:fill="FFFFFF"/>
          </w:tcPr>
          <w:p w:rsidR="001B71F3" w:rsidRDefault="00B42834">
            <w:pPr>
              <w:contextualSpacing w:val="0"/>
              <w:rPr>
                <w:i/>
              </w:rPr>
            </w:pPr>
            <w:r>
              <w:rPr>
                <w:i/>
              </w:rPr>
              <w:t>Describe the actions that take place in this step. The step should be described in active, present tense.</w:t>
            </w:r>
          </w:p>
        </w:tc>
        <w:tc>
          <w:tcPr>
            <w:tcW w:w="2925" w:type="dxa"/>
            <w:shd w:val="clear" w:color="auto" w:fill="FFFFFF"/>
          </w:tcPr>
          <w:p w:rsidR="001B71F3" w:rsidRDefault="00B42834">
            <w:pPr>
              <w:contextualSpacing w:val="0"/>
              <w:rPr>
                <w:i/>
              </w:rPr>
            </w:pPr>
            <w:r>
              <w:rPr>
                <w:i/>
              </w:rPr>
              <w:t xml:space="preserve">Elaborate on any additional description or value of the step to help support the description. Short notes on architecture challenges, </w:t>
            </w:r>
            <w:proofErr w:type="spellStart"/>
            <w:r>
              <w:rPr>
                <w:i/>
              </w:rPr>
              <w:t>ect</w:t>
            </w:r>
            <w:proofErr w:type="spellEnd"/>
            <w:r>
              <w:rPr>
                <w:i/>
              </w:rPr>
              <w:t>. may also be noted in this column.</w:t>
            </w:r>
          </w:p>
        </w:tc>
      </w:tr>
      <w:tr w:rsidR="001B71F3">
        <w:tc>
          <w:tcPr>
            <w:tcW w:w="2925" w:type="dxa"/>
          </w:tcPr>
          <w:p w:rsidR="001B71F3" w:rsidRDefault="000F32CF">
            <w:pPr>
              <w:contextualSpacing w:val="0"/>
            </w:pPr>
            <w:r>
              <w:t>1</w:t>
            </w:r>
          </w:p>
        </w:tc>
        <w:tc>
          <w:tcPr>
            <w:tcW w:w="2925" w:type="dxa"/>
            <w:shd w:val="clear" w:color="auto" w:fill="FFFFFF"/>
          </w:tcPr>
          <w:p w:rsidR="001B71F3" w:rsidRDefault="000F32CF">
            <w:pPr>
              <w:contextualSpacing w:val="0"/>
            </w:pPr>
            <w:r>
              <w:t>Site meter</w:t>
            </w:r>
          </w:p>
        </w:tc>
        <w:tc>
          <w:tcPr>
            <w:tcW w:w="2925" w:type="dxa"/>
            <w:shd w:val="clear" w:color="auto" w:fill="FFFFFF"/>
          </w:tcPr>
          <w:p w:rsidR="001B71F3" w:rsidRDefault="000F32CF">
            <w:pPr>
              <w:contextualSpacing w:val="0"/>
            </w:pPr>
            <w:r>
              <w:t>Relay of current power demand to site controller or building EMS</w:t>
            </w:r>
          </w:p>
        </w:tc>
        <w:tc>
          <w:tcPr>
            <w:tcW w:w="2925" w:type="dxa"/>
            <w:shd w:val="clear" w:color="auto" w:fill="FFFFFF"/>
          </w:tcPr>
          <w:p w:rsidR="001B71F3" w:rsidRDefault="000F32CF" w:rsidP="000F32CF">
            <w:pPr>
              <w:contextualSpacing w:val="0"/>
            </w:pPr>
            <w:r>
              <w:t xml:space="preserve">Could use OpenADR 2.0B, </w:t>
            </w:r>
            <w:proofErr w:type="spellStart"/>
            <w:r>
              <w:t>Zigbee</w:t>
            </w:r>
            <w:proofErr w:type="spellEnd"/>
            <w:r>
              <w:t xml:space="preserve"> HA, or other protocol to relay data</w:t>
            </w:r>
          </w:p>
        </w:tc>
      </w:tr>
      <w:tr w:rsidR="001B71F3">
        <w:tc>
          <w:tcPr>
            <w:tcW w:w="2925" w:type="dxa"/>
          </w:tcPr>
          <w:p w:rsidR="001B71F3" w:rsidRDefault="000F32CF">
            <w:pPr>
              <w:contextualSpacing w:val="0"/>
            </w:pPr>
            <w:r>
              <w:t>2</w:t>
            </w:r>
          </w:p>
        </w:tc>
        <w:tc>
          <w:tcPr>
            <w:tcW w:w="2925" w:type="dxa"/>
            <w:shd w:val="clear" w:color="auto" w:fill="FFFFFF"/>
          </w:tcPr>
          <w:p w:rsidR="001B71F3" w:rsidRDefault="000F32CF">
            <w:pPr>
              <w:contextualSpacing w:val="0"/>
            </w:pPr>
            <w:r>
              <w:t>Site Controller or Building EMS</w:t>
            </w:r>
          </w:p>
        </w:tc>
        <w:tc>
          <w:tcPr>
            <w:tcW w:w="2925" w:type="dxa"/>
            <w:shd w:val="clear" w:color="auto" w:fill="FFFFFF"/>
          </w:tcPr>
          <w:p w:rsidR="001B71F3" w:rsidRDefault="000F32CF">
            <w:pPr>
              <w:contextualSpacing w:val="0"/>
            </w:pPr>
            <w:r>
              <w:t xml:space="preserve">Determines if power level is near pre-determined peak threshold </w:t>
            </w:r>
          </w:p>
        </w:tc>
        <w:tc>
          <w:tcPr>
            <w:tcW w:w="2925" w:type="dxa"/>
            <w:shd w:val="clear" w:color="auto" w:fill="FFFFFF"/>
          </w:tcPr>
          <w:p w:rsidR="001B71F3" w:rsidRDefault="000F32CF">
            <w:pPr>
              <w:contextualSpacing w:val="0"/>
            </w:pPr>
            <w:r>
              <w:t>If power level is NOT near limits, return to step 1</w:t>
            </w:r>
          </w:p>
        </w:tc>
      </w:tr>
      <w:tr w:rsidR="001B71F3">
        <w:tc>
          <w:tcPr>
            <w:tcW w:w="2925" w:type="dxa"/>
          </w:tcPr>
          <w:p w:rsidR="001B71F3" w:rsidRDefault="000F32CF">
            <w:pPr>
              <w:contextualSpacing w:val="0"/>
            </w:pPr>
            <w:r>
              <w:t>3</w:t>
            </w:r>
          </w:p>
        </w:tc>
        <w:tc>
          <w:tcPr>
            <w:tcW w:w="2925" w:type="dxa"/>
            <w:shd w:val="clear" w:color="auto" w:fill="FFFFFF"/>
          </w:tcPr>
          <w:p w:rsidR="001B71F3" w:rsidRDefault="000F32CF">
            <w:pPr>
              <w:contextualSpacing w:val="0"/>
            </w:pPr>
            <w:r>
              <w:t>Site Controller or Building EMS</w:t>
            </w:r>
          </w:p>
        </w:tc>
        <w:tc>
          <w:tcPr>
            <w:tcW w:w="2925" w:type="dxa"/>
            <w:shd w:val="clear" w:color="auto" w:fill="FFFFFF"/>
          </w:tcPr>
          <w:p w:rsidR="001B71F3" w:rsidRDefault="000F32CF">
            <w:pPr>
              <w:contextualSpacing w:val="0"/>
            </w:pPr>
            <w:r>
              <w:t>Calculate amount of power to shed from EVSE(s) to lower power demand</w:t>
            </w:r>
          </w:p>
        </w:tc>
        <w:tc>
          <w:tcPr>
            <w:tcW w:w="2925" w:type="dxa"/>
            <w:shd w:val="clear" w:color="auto" w:fill="FFFFFF"/>
          </w:tcPr>
          <w:p w:rsidR="001B71F3" w:rsidRDefault="000F32CF">
            <w:pPr>
              <w:contextualSpacing w:val="0"/>
            </w:pPr>
            <w:r>
              <w:t>Could be a percentage of current power draw, temporary stoppage, or</w:t>
            </w:r>
            <w:r w:rsidR="00963860">
              <w:t xml:space="preserve"> amperage</w:t>
            </w:r>
          </w:p>
        </w:tc>
      </w:tr>
      <w:tr w:rsidR="001B71F3">
        <w:tc>
          <w:tcPr>
            <w:tcW w:w="2925" w:type="dxa"/>
          </w:tcPr>
          <w:p w:rsidR="001B71F3" w:rsidRDefault="000F32CF">
            <w:pPr>
              <w:contextualSpacing w:val="0"/>
            </w:pPr>
            <w:r>
              <w:t>4</w:t>
            </w:r>
          </w:p>
        </w:tc>
        <w:tc>
          <w:tcPr>
            <w:tcW w:w="2925" w:type="dxa"/>
            <w:shd w:val="clear" w:color="auto" w:fill="FFFFFF"/>
          </w:tcPr>
          <w:p w:rsidR="001B71F3" w:rsidRDefault="00963860">
            <w:pPr>
              <w:contextualSpacing w:val="0"/>
            </w:pPr>
            <w:r>
              <w:t>EVSE</w:t>
            </w:r>
          </w:p>
        </w:tc>
        <w:tc>
          <w:tcPr>
            <w:tcW w:w="2925" w:type="dxa"/>
            <w:shd w:val="clear" w:color="auto" w:fill="FFFFFF"/>
          </w:tcPr>
          <w:p w:rsidR="001B71F3" w:rsidRDefault="00963860">
            <w:pPr>
              <w:contextualSpacing w:val="0"/>
            </w:pPr>
            <w:r>
              <w:t xml:space="preserve">Receives command from site controller or building </w:t>
            </w:r>
            <w:r>
              <w:lastRenderedPageBreak/>
              <w:t>EMS to shed a portion or all load from connected vehicle</w:t>
            </w:r>
          </w:p>
        </w:tc>
        <w:tc>
          <w:tcPr>
            <w:tcW w:w="2925" w:type="dxa"/>
            <w:shd w:val="clear" w:color="auto" w:fill="FFFFFF"/>
          </w:tcPr>
          <w:p w:rsidR="001B71F3" w:rsidRDefault="00963860">
            <w:pPr>
              <w:contextualSpacing w:val="0"/>
            </w:pPr>
            <w:r>
              <w:lastRenderedPageBreak/>
              <w:t xml:space="preserve">Optional: EVSE communicates with vehicle </w:t>
            </w:r>
            <w:r>
              <w:lastRenderedPageBreak/>
              <w:t>using high level protocol to determine how much and how long to delay charging based upon pricing, battery state of charge, or departure time</w:t>
            </w:r>
          </w:p>
        </w:tc>
      </w:tr>
      <w:tr w:rsidR="001B71F3">
        <w:tc>
          <w:tcPr>
            <w:tcW w:w="2925" w:type="dxa"/>
          </w:tcPr>
          <w:p w:rsidR="001B71F3" w:rsidRDefault="000F32CF">
            <w:pPr>
              <w:contextualSpacing w:val="0"/>
            </w:pPr>
            <w:r>
              <w:lastRenderedPageBreak/>
              <w:t>5</w:t>
            </w:r>
          </w:p>
        </w:tc>
        <w:tc>
          <w:tcPr>
            <w:tcW w:w="2925" w:type="dxa"/>
            <w:shd w:val="clear" w:color="auto" w:fill="FFFFFF"/>
          </w:tcPr>
          <w:p w:rsidR="001B71F3" w:rsidRDefault="00963860">
            <w:pPr>
              <w:contextualSpacing w:val="0"/>
            </w:pPr>
            <w:r>
              <w:t>Vehicle</w:t>
            </w:r>
          </w:p>
        </w:tc>
        <w:tc>
          <w:tcPr>
            <w:tcW w:w="2925" w:type="dxa"/>
            <w:shd w:val="clear" w:color="auto" w:fill="FFFFFF"/>
          </w:tcPr>
          <w:p w:rsidR="001B71F3" w:rsidRDefault="00963860">
            <w:pPr>
              <w:contextualSpacing w:val="0"/>
            </w:pPr>
            <w:r>
              <w:t>Reduces charging rate</w:t>
            </w:r>
          </w:p>
        </w:tc>
        <w:tc>
          <w:tcPr>
            <w:tcW w:w="2925" w:type="dxa"/>
            <w:shd w:val="clear" w:color="auto" w:fill="FFFFFF"/>
          </w:tcPr>
          <w:p w:rsidR="001B71F3" w:rsidRDefault="00963860">
            <w:pPr>
              <w:contextualSpacing w:val="0"/>
            </w:pPr>
            <w:r>
              <w:t>Vehicle reduces charging rate within a timeframe determined by pilot signal standards</w:t>
            </w:r>
          </w:p>
        </w:tc>
      </w:tr>
    </w:tbl>
    <w:p w:rsidR="001B71F3" w:rsidRDefault="001B71F3"/>
    <w:p w:rsidR="001B71F3" w:rsidRDefault="00B42834">
      <w:r>
        <w:br w:type="column"/>
      </w:r>
    </w:p>
    <w:p w:rsidR="001B71F3" w:rsidRDefault="001B71F3"/>
    <w:tbl>
      <w:tblPr>
        <w:tblStyle w:val="a2"/>
        <w:tblW w:w="11250" w:type="dxa"/>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8730"/>
      </w:tblGrid>
      <w:tr w:rsidR="001B71F3">
        <w:trPr>
          <w:trHeight w:val="380"/>
        </w:trPr>
        <w:tc>
          <w:tcPr>
            <w:tcW w:w="11250" w:type="dxa"/>
            <w:gridSpan w:val="2"/>
            <w:shd w:val="clear" w:color="auto" w:fill="E7E6E6"/>
            <w:vAlign w:val="center"/>
          </w:tcPr>
          <w:p w:rsidR="001B71F3" w:rsidRDefault="00B42834">
            <w:pPr>
              <w:contextualSpacing w:val="0"/>
              <w:jc w:val="center"/>
              <w:rPr>
                <w:b/>
              </w:rPr>
            </w:pPr>
            <w:r>
              <w:rPr>
                <w:b/>
              </w:rPr>
              <w:t>Glossary</w:t>
            </w:r>
          </w:p>
        </w:tc>
      </w:tr>
      <w:tr w:rsidR="001B71F3">
        <w:tc>
          <w:tcPr>
            <w:tcW w:w="2520" w:type="dxa"/>
            <w:shd w:val="clear" w:color="auto" w:fill="E7E6E6"/>
          </w:tcPr>
          <w:p w:rsidR="001B71F3" w:rsidRDefault="00B42834">
            <w:pPr>
              <w:contextualSpacing w:val="0"/>
              <w:rPr>
                <w:b/>
              </w:rPr>
            </w:pPr>
            <w:r>
              <w:rPr>
                <w:b/>
              </w:rPr>
              <w:t>Term</w:t>
            </w:r>
          </w:p>
        </w:tc>
        <w:tc>
          <w:tcPr>
            <w:tcW w:w="8730" w:type="dxa"/>
            <w:shd w:val="clear" w:color="auto" w:fill="E7E6E6"/>
          </w:tcPr>
          <w:p w:rsidR="001B71F3" w:rsidRDefault="00B42834">
            <w:pPr>
              <w:contextualSpacing w:val="0"/>
              <w:rPr>
                <w:b/>
              </w:rPr>
            </w:pPr>
            <w:r>
              <w:rPr>
                <w:b/>
              </w:rPr>
              <w:t>Definition</w:t>
            </w:r>
          </w:p>
        </w:tc>
      </w:tr>
      <w:tr w:rsidR="001B71F3">
        <w:tc>
          <w:tcPr>
            <w:tcW w:w="2520" w:type="dxa"/>
          </w:tcPr>
          <w:p w:rsidR="001B71F3" w:rsidRDefault="00654708">
            <w:pPr>
              <w:contextualSpacing w:val="0"/>
            </w:pPr>
            <w:r>
              <w:t>EMS</w:t>
            </w:r>
          </w:p>
        </w:tc>
        <w:tc>
          <w:tcPr>
            <w:tcW w:w="8730" w:type="dxa"/>
            <w:shd w:val="clear" w:color="auto" w:fill="FFFFFF"/>
          </w:tcPr>
          <w:p w:rsidR="001B71F3" w:rsidRDefault="00654708">
            <w:pPr>
              <w:contextualSpacing w:val="0"/>
            </w:pPr>
            <w:r>
              <w:t>Energy Management System</w:t>
            </w:r>
          </w:p>
        </w:tc>
      </w:tr>
      <w:tr w:rsidR="001B71F3">
        <w:tc>
          <w:tcPr>
            <w:tcW w:w="2520" w:type="dxa"/>
          </w:tcPr>
          <w:p w:rsidR="001B71F3" w:rsidRDefault="00654708">
            <w:pPr>
              <w:contextualSpacing w:val="0"/>
            </w:pPr>
            <w:r>
              <w:t>EVSE</w:t>
            </w:r>
          </w:p>
        </w:tc>
        <w:tc>
          <w:tcPr>
            <w:tcW w:w="8730" w:type="dxa"/>
            <w:shd w:val="clear" w:color="auto" w:fill="FFFFFF"/>
          </w:tcPr>
          <w:p w:rsidR="001B71F3" w:rsidRDefault="00654708">
            <w:pPr>
              <w:contextualSpacing w:val="0"/>
            </w:pPr>
            <w:r>
              <w:t>Electric Vehicle Supply Equipment</w:t>
            </w:r>
          </w:p>
        </w:tc>
      </w:tr>
    </w:tbl>
    <w:p w:rsidR="001B71F3" w:rsidRDefault="001B71F3"/>
    <w:sectPr w:rsidR="001B71F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LucidaBright">
    <w:altName w:val="Lucida Bright"/>
    <w:panose1 w:val="00000000000000000000"/>
    <w:charset w:val="00"/>
    <w:family w:val="roman"/>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1F6205"/>
    <w:multiLevelType w:val="hybridMultilevel"/>
    <w:tmpl w:val="5894AED0"/>
    <w:lvl w:ilvl="0" w:tplc="FA24FD6A">
      <w:start w:val="1"/>
      <w:numFmt w:val="bullet"/>
      <w:pStyle w:val="ListParagraph"/>
      <w:lvlText w:val=""/>
      <w:lvlJc w:val="left"/>
      <w:pPr>
        <w:ind w:left="288" w:hanging="288"/>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6B655673"/>
    <w:multiLevelType w:val="hybridMultilevel"/>
    <w:tmpl w:val="815C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011D49"/>
    <w:multiLevelType w:val="hybridMultilevel"/>
    <w:tmpl w:val="7A243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1F3"/>
    <w:rsid w:val="00055A07"/>
    <w:rsid w:val="00072011"/>
    <w:rsid w:val="000F32CF"/>
    <w:rsid w:val="001B71F3"/>
    <w:rsid w:val="002131E3"/>
    <w:rsid w:val="00654708"/>
    <w:rsid w:val="006A1D2B"/>
    <w:rsid w:val="009504DD"/>
    <w:rsid w:val="00963860"/>
    <w:rsid w:val="00A01BDB"/>
    <w:rsid w:val="00AB3261"/>
    <w:rsid w:val="00AC08C8"/>
    <w:rsid w:val="00B42834"/>
    <w:rsid w:val="00DF6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3F4F01-6CA1-4E12-AB6B-9983DEE6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240"/>
      <w:outlineLvl w:val="0"/>
    </w:pPr>
    <w:rPr>
      <w:color w:val="2F5496"/>
      <w:sz w:val="32"/>
      <w:szCs w:val="32"/>
    </w:rPr>
  </w:style>
  <w:style w:type="paragraph" w:styleId="Heading2">
    <w:name w:val="heading 2"/>
    <w:basedOn w:val="Normal"/>
    <w:next w:val="Normal"/>
    <w:pPr>
      <w:keepNext/>
      <w:keepLines/>
      <w:spacing w:before="40"/>
      <w:outlineLvl w:val="1"/>
    </w:pPr>
    <w:rPr>
      <w:color w:val="2F5496"/>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sz w:val="56"/>
      <w:szCs w:val="56"/>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pPr>
      <w:contextualSpacing/>
    </w:pPr>
    <w:tblPr>
      <w:tblStyleRowBandSize w:val="1"/>
      <w:tblStyleColBandSize w:val="1"/>
      <w:tblCellMar>
        <w:left w:w="115" w:type="dxa"/>
        <w:right w:w="115" w:type="dxa"/>
      </w:tblCellMar>
    </w:tblPr>
  </w:style>
  <w:style w:type="paragraph" w:styleId="ListParagraph">
    <w:name w:val="List Paragraph"/>
    <w:basedOn w:val="Normal"/>
    <w:uiPriority w:val="34"/>
    <w:qFormat/>
    <w:rsid w:val="00055A07"/>
    <w:pPr>
      <w:widowControl/>
      <w:numPr>
        <w:numId w:val="1"/>
      </w:numPr>
      <w:autoSpaceDE w:val="0"/>
      <w:autoSpaceDN w:val="0"/>
      <w:adjustRightInd w:val="0"/>
      <w:spacing w:after="60" w:line="300" w:lineRule="atLeast"/>
      <w:textAlignment w:val="center"/>
    </w:pPr>
    <w:rPr>
      <w:rFonts w:ascii="Lucida Bright" w:eastAsiaTheme="minorEastAsia" w:hAnsi="Lucida Bright" w:cs="LucidaBright"/>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Honda North America, Inc.</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Whaling</dc:creator>
  <cp:lastModifiedBy>George Bellino</cp:lastModifiedBy>
  <cp:revision>2</cp:revision>
  <dcterms:created xsi:type="dcterms:W3CDTF">2017-06-06T03:30:00Z</dcterms:created>
  <dcterms:modified xsi:type="dcterms:W3CDTF">2017-06-06T03:30:00Z</dcterms:modified>
</cp:coreProperties>
</file>